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52" w:rsidRDefault="005C1E52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>Индивидуальная программа проф</w:t>
      </w:r>
      <w:r w:rsidR="00005863">
        <w:rPr>
          <w:rFonts w:ascii="Times New Roman" w:hAnsi="Times New Roman" w:cs="Times New Roman"/>
          <w:b/>
          <w:sz w:val="24"/>
          <w:szCs w:val="24"/>
        </w:rPr>
        <w:t>ессионального развития педагога</w:t>
      </w:r>
    </w:p>
    <w:p w:rsidR="00005863" w:rsidRDefault="00005863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Кухтиной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Ирины Николаевны</w:t>
      </w:r>
    </w:p>
    <w:p w:rsidR="006F62DA" w:rsidRDefault="006F62DA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2DA" w:rsidRPr="00EE2832" w:rsidRDefault="006F62DA" w:rsidP="006F62D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832">
        <w:rPr>
          <w:rFonts w:ascii="Times New Roman" w:hAnsi="Times New Roman" w:cs="Times New Roman"/>
          <w:b/>
          <w:sz w:val="24"/>
          <w:szCs w:val="24"/>
        </w:rPr>
        <w:t xml:space="preserve">Тема самообразования: </w:t>
      </w:r>
      <w:r w:rsidRPr="00EE2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«Развитие навыков устного счёта на уроках </w:t>
      </w:r>
      <w:r w:rsidRPr="006F62D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математики»</w:t>
      </w:r>
    </w:p>
    <w:p w:rsidR="006F62DA" w:rsidRPr="006F62DA" w:rsidRDefault="00EE2832" w:rsidP="006F62D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6F62DA" w:rsidRPr="00EE2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оказать результативность использования интерактивных форм и методов обучения при формировании навыков устного счета, повышение познавательно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интереса к урокам математики.</w:t>
      </w:r>
    </w:p>
    <w:p w:rsidR="006F62DA" w:rsidRPr="00EE2832" w:rsidRDefault="00EE2832" w:rsidP="006F62D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</w:t>
      </w:r>
      <w:r w:rsidR="006F62DA" w:rsidRPr="00EE2832">
        <w:rPr>
          <w:color w:val="000000"/>
        </w:rPr>
        <w:t>адачи:</w:t>
      </w:r>
    </w:p>
    <w:p w:rsidR="006F62DA" w:rsidRPr="00EE2832" w:rsidRDefault="006F62DA" w:rsidP="006F62D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2832">
        <w:rPr>
          <w:color w:val="000000"/>
        </w:rPr>
        <w:t>а) изучить теорию данного вопроса в психолого-педагогической и методической литературе.</w:t>
      </w:r>
    </w:p>
    <w:p w:rsidR="006F62DA" w:rsidRPr="00EE2832" w:rsidRDefault="006F62DA" w:rsidP="006F62D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2832">
        <w:rPr>
          <w:color w:val="000000"/>
        </w:rPr>
        <w:t>б) подобрать оптимальные виды устных упражнений для успешного формирования навыков устного счета и повышения познавательного интереса к урокам математики.</w:t>
      </w:r>
    </w:p>
    <w:p w:rsidR="006F62DA" w:rsidRPr="00EE2832" w:rsidRDefault="006F62DA" w:rsidP="006F62D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2832">
        <w:rPr>
          <w:color w:val="000000"/>
        </w:rPr>
        <w:t>в) сделать выводы и дать рекомендации по использованию данных видов устных упражнений.</w:t>
      </w:r>
    </w:p>
    <w:p w:rsidR="006F62DA" w:rsidRPr="005C1E52" w:rsidRDefault="006F62DA" w:rsidP="005C1E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Программа профессионального развития пед</w:t>
      </w:r>
      <w:r w:rsidR="006F62DA">
        <w:rPr>
          <w:rFonts w:ascii="Times New Roman" w:eastAsia="TimesNewRoman" w:hAnsi="Times New Roman" w:cs="Times New Roman"/>
          <w:i/>
        </w:rPr>
        <w:t>агога в межкурсовой период (2020-2023</w:t>
      </w:r>
      <w:r w:rsidRPr="005C1E52">
        <w:rPr>
          <w:rFonts w:ascii="Times New Roman" w:eastAsia="TimesNewRoman" w:hAnsi="Times New Roman" w:cs="Times New Roman"/>
          <w:i/>
        </w:rPr>
        <w:t>гг)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551"/>
        <w:gridCol w:w="992"/>
        <w:gridCol w:w="1418"/>
        <w:gridCol w:w="1701"/>
        <w:gridCol w:w="1134"/>
        <w:gridCol w:w="1134"/>
      </w:tblGrid>
      <w:tr w:rsidR="005C1E52" w:rsidRPr="005C1E52" w:rsidTr="005C1E5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Ведущие задачи 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по развитию профессиональной компетентности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ТФ*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Необходимые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Что предполагаю для этого сделать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Срок реализации задач</w:t>
            </w:r>
          </w:p>
        </w:tc>
      </w:tr>
      <w:tr w:rsidR="005C1E52" w:rsidRPr="005C1E52" w:rsidTr="005C1E52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Предметные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28" w:rsidRPr="000712FD" w:rsidRDefault="00E51A28" w:rsidP="00E51A28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rStyle w:val="apple-converted-space"/>
                <w:color w:val="000000"/>
                <w:lang w:eastAsia="en-US"/>
              </w:rPr>
              <w:t> </w:t>
            </w:r>
            <w:r w:rsidRPr="000712FD">
              <w:rPr>
                <w:color w:val="000000"/>
                <w:lang w:eastAsia="en-US"/>
              </w:rPr>
              <w:t>Изучить новые образовательные стандарты, уяснить их особенности.</w:t>
            </w:r>
          </w:p>
          <w:p w:rsidR="00E51A28" w:rsidRPr="000712FD" w:rsidRDefault="00E51A28" w:rsidP="00E51A28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color w:val="000000"/>
                <w:lang w:eastAsia="en-US"/>
              </w:rPr>
              <w:t>Знакомиться с новыми педагогическими технологиями через предметные</w:t>
            </w:r>
            <w:r w:rsidR="00B54BB6">
              <w:rPr>
                <w:color w:val="000000"/>
                <w:lang w:eastAsia="en-US"/>
              </w:rPr>
              <w:t xml:space="preserve"> издания и Интернет.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3A4983" w:rsidP="00B54BB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де</w:t>
            </w:r>
            <w:r w:rsidR="00B54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ятельность педагога и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B54BB6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Style w:val="c0"/>
                <w:color w:val="000000"/>
                <w:lang w:eastAsia="en-US"/>
              </w:rPr>
              <w:t>Готовность принять разных детей, вне зависимости от их реальных учебных возможностей, состояния психического и физического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D80BE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программно-методического комплекса (рабочие программы, программы внеурочной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51" w:rsidRPr="000712FD" w:rsidRDefault="00547F51" w:rsidP="00547F51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hanging="360"/>
              <w:jc w:val="center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Высокий уровень</w:t>
            </w:r>
          </w:p>
          <w:p w:rsidR="00547F51" w:rsidRPr="000712FD" w:rsidRDefault="00547F51" w:rsidP="00547F51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развития профессиональных компетенций в соответствии с профессиональным стандартом педагога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6F62DA" w:rsidP="003B053D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</w:t>
            </w:r>
            <w:r w:rsidR="003B053D">
              <w:rPr>
                <w:rFonts w:ascii="Times New Roman" w:eastAsia="TimesNewRoman" w:hAnsi="Times New Roman" w:cs="Times New Roman"/>
                <w:i/>
              </w:rPr>
              <w:t>2-2025</w:t>
            </w:r>
          </w:p>
        </w:tc>
      </w:tr>
      <w:tr w:rsidR="00B112A7" w:rsidRPr="005C1E52" w:rsidTr="005C1E52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Методические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69469E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color w:val="000000"/>
                <w:lang w:eastAsia="en-US"/>
              </w:rPr>
              <w:t xml:space="preserve"> Получать педагогическое образование и повышать методический уровень на квалификационных курсах учителей </w:t>
            </w:r>
            <w:r>
              <w:rPr>
                <w:color w:val="000000"/>
                <w:lang w:eastAsia="en-US"/>
              </w:rPr>
              <w:t>начальных классов.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деятельностьс</w:t>
            </w:r>
            <w:proofErr w:type="spellEnd"/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коллегами, администрацией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B112A7" w:rsidP="004B18E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использовать в практике своей работы психологические подходы: </w:t>
            </w:r>
            <w:proofErr w:type="spellStart"/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развивающий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семинарах, выступление на ШМО, изучение методической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5E546B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hanging="360"/>
              <w:jc w:val="center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Высокий уровень</w:t>
            </w:r>
          </w:p>
          <w:p w:rsidR="00B112A7" w:rsidRPr="000712FD" w:rsidRDefault="00B112A7" w:rsidP="005E546B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развития профессиональных компетенций в соответствии с профессиональным стандартом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3B053D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B112A7" w:rsidRPr="005C1E52" w:rsidTr="005C1E52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Психолого-педагогические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072E5B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Профессиональная установка на оказание помощи любому ребенку.</w:t>
            </w:r>
          </w:p>
          <w:p w:rsidR="00B112A7" w:rsidRPr="000712FD" w:rsidRDefault="00B112A7" w:rsidP="00072E5B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0712FD">
              <w:rPr>
                <w:rStyle w:val="c0"/>
                <w:color w:val="000000"/>
                <w:lang w:eastAsia="en-US"/>
              </w:rPr>
              <w:t> Способность оказать адресную помощь ребенку своими педагогическими приемами</w:t>
            </w:r>
            <w:r>
              <w:rPr>
                <w:rStyle w:val="c0"/>
                <w:color w:val="000000"/>
                <w:lang w:eastAsia="en-US"/>
              </w:rPr>
              <w:t>.</w:t>
            </w:r>
          </w:p>
          <w:p w:rsidR="00B112A7" w:rsidRPr="005C1E52" w:rsidRDefault="00B112A7" w:rsidP="00072E5B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одаренных детей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деятельность педагога и учащихся, психолога, социального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9C7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Знание общих  </w:t>
            </w:r>
          </w:p>
          <w:p w:rsidR="00B112A7" w:rsidRPr="005C1E52" w:rsidRDefault="00B112A7" w:rsidP="009C7641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0712FD" w:rsidRDefault="00B112A7" w:rsidP="00A8026D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Изучение специальной литературы по индивидуальным и психологическим и возрастным особенностям</w:t>
            </w:r>
          </w:p>
          <w:p w:rsidR="00B112A7" w:rsidRPr="000712FD" w:rsidRDefault="00B112A7" w:rsidP="00A8026D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учащихся, уча</w:t>
            </w:r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стие в </w:t>
            </w:r>
            <w:proofErr w:type="spellStart"/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, курсы повышения квалификации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AC17B1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12FD">
              <w:rPr>
                <w:rFonts w:ascii="Times New Roman" w:eastAsia="TimesNewRoman" w:hAnsi="Times New Roman" w:cs="Times New Roman"/>
                <w:sz w:val="24"/>
                <w:szCs w:val="24"/>
              </w:rPr>
              <w:t>Включение в образовательный процесс всех детей, формирование мотивационной среды и предоставление возможностей реализации на уроке каждому ребенку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3B053D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B112A7" w:rsidRPr="005C1E52" w:rsidTr="005C1E52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Коммуникативные</w:t>
            </w: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B112A7" w:rsidRPr="005C1E52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  <w:lang w:eastAsia="en-US"/>
              </w:rPr>
              <w:t>Установка на: педагогический такт, педагогическую общительность на обладание педагогической этикой</w:t>
            </w:r>
            <w:r w:rsidRPr="006F62DA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 и симпатией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Совместная деятельность педагога и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Знания гуманистических норм своей профессии и следование 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B112A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Осуществлять педагогическую поддержку организации совместной деятельности и межличностного общения учащихся, знание собственных сильных сторон, умение использовать их в собственной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6F62DA" w:rsidRDefault="0057525C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</w:rPr>
            </w:pPr>
            <w:r w:rsidRPr="006F62DA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здоровье сберегающей среды в образовательном пространстве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A7" w:rsidRPr="005C1E52" w:rsidRDefault="003B053D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</w:tbl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2CA" w:rsidRDefault="002032CA" w:rsidP="002032CA">
      <w:pPr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342"/>
        <w:gridCol w:w="1519"/>
        <w:gridCol w:w="2078"/>
        <w:gridCol w:w="1355"/>
        <w:gridCol w:w="1530"/>
        <w:gridCol w:w="1749"/>
        <w:gridCol w:w="2240"/>
        <w:gridCol w:w="663"/>
        <w:gridCol w:w="663"/>
        <w:gridCol w:w="1988"/>
      </w:tblGrid>
      <w:tr w:rsidR="002032CA" w:rsidRPr="002032CA" w:rsidTr="00EC1A0B">
        <w:tc>
          <w:tcPr>
            <w:tcW w:w="1376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2832" w:rsidRPr="002032CA" w:rsidTr="002032CA">
        <w:tc>
          <w:tcPr>
            <w:tcW w:w="1376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2832" w:rsidRPr="002032CA" w:rsidTr="002032CA">
        <w:tc>
          <w:tcPr>
            <w:tcW w:w="1376" w:type="dxa"/>
          </w:tcPr>
          <w:p w:rsidR="002032CA" w:rsidRPr="002032CA" w:rsidRDefault="0088160E" w:rsidP="002032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729" w:type="dxa"/>
          </w:tcPr>
          <w:p w:rsidR="002032CA" w:rsidRPr="006F62DA" w:rsidRDefault="006F62DA" w:rsidP="002032CA">
            <w:pPr>
              <w:pStyle w:val="Default"/>
              <w:jc w:val="both"/>
            </w:pPr>
            <w:r w:rsidRPr="006F62DA">
              <w:t>2022</w:t>
            </w: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6F62DA" w:rsidP="002032CA">
            <w:pPr>
              <w:pStyle w:val="Default"/>
              <w:jc w:val="both"/>
            </w:pPr>
            <w:r w:rsidRPr="006F62DA">
              <w:t>2022</w:t>
            </w:r>
          </w:p>
          <w:p w:rsidR="0088160E" w:rsidRPr="006F62DA" w:rsidRDefault="0088160E" w:rsidP="002032CA">
            <w:pPr>
              <w:pStyle w:val="Default"/>
              <w:jc w:val="both"/>
            </w:pPr>
          </w:p>
        </w:tc>
        <w:tc>
          <w:tcPr>
            <w:tcW w:w="1298" w:type="dxa"/>
          </w:tcPr>
          <w:p w:rsidR="006F62DA" w:rsidRPr="006F62DA" w:rsidRDefault="006F62DA" w:rsidP="006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D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предметных и </w:t>
            </w:r>
            <w:proofErr w:type="spellStart"/>
            <w:r w:rsidRPr="006F62D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F62D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начальной школе в соответствии с ФГОС НОО» (36 часов)</w:t>
            </w:r>
          </w:p>
          <w:p w:rsidR="006F62DA" w:rsidRPr="006F62DA" w:rsidRDefault="006F62DA" w:rsidP="006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0E" w:rsidRPr="006F62DA" w:rsidRDefault="006F62DA" w:rsidP="006F62DA">
            <w:pPr>
              <w:pStyle w:val="Default"/>
              <w:jc w:val="both"/>
            </w:pPr>
            <w:r w:rsidRPr="006F62DA">
              <w:t xml:space="preserve"> «Функциональная грамотность младших школьников» (36 часов)</w:t>
            </w:r>
          </w:p>
          <w:p w:rsidR="0088160E" w:rsidRPr="006F62DA" w:rsidRDefault="0088160E" w:rsidP="006F62DA">
            <w:pPr>
              <w:pStyle w:val="Default"/>
              <w:jc w:val="both"/>
            </w:pPr>
          </w:p>
        </w:tc>
        <w:tc>
          <w:tcPr>
            <w:tcW w:w="1445" w:type="dxa"/>
          </w:tcPr>
          <w:p w:rsidR="002032CA" w:rsidRPr="006F62DA" w:rsidRDefault="006F62DA" w:rsidP="002032CA">
            <w:pPr>
              <w:pStyle w:val="Default"/>
              <w:jc w:val="both"/>
            </w:pPr>
            <w:r w:rsidRPr="006F62DA">
              <w:t>36 (часов</w:t>
            </w:r>
            <w:r w:rsidR="0088160E" w:rsidRPr="006F62DA">
              <w:t>)</w:t>
            </w: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88160E" w:rsidP="002032CA">
            <w:pPr>
              <w:pStyle w:val="Default"/>
              <w:jc w:val="both"/>
            </w:pPr>
          </w:p>
          <w:p w:rsidR="0088160E" w:rsidRPr="006F62DA" w:rsidRDefault="006F62DA" w:rsidP="002032CA">
            <w:pPr>
              <w:pStyle w:val="Default"/>
              <w:jc w:val="both"/>
            </w:pPr>
            <w:r w:rsidRPr="006F62DA">
              <w:t>36</w:t>
            </w:r>
            <w:r w:rsidR="0088160E" w:rsidRPr="006F62DA">
              <w:t>(часов)</w:t>
            </w:r>
          </w:p>
        </w:tc>
        <w:tc>
          <w:tcPr>
            <w:tcW w:w="1530" w:type="dxa"/>
          </w:tcPr>
          <w:p w:rsidR="002032CA" w:rsidRPr="006F62DA" w:rsidRDefault="0088160E" w:rsidP="0020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A">
              <w:rPr>
                <w:rFonts w:ascii="Times New Roman" w:hAnsi="Times New Roman" w:cs="Times New Roman"/>
                <w:sz w:val="24"/>
                <w:szCs w:val="24"/>
              </w:rPr>
              <w:t>Реализация ФГОС в начальном звене</w:t>
            </w:r>
          </w:p>
        </w:tc>
        <w:tc>
          <w:tcPr>
            <w:tcW w:w="1473" w:type="dxa"/>
          </w:tcPr>
          <w:p w:rsidR="0088160E" w:rsidRPr="006F62DA" w:rsidRDefault="00020466" w:rsidP="0020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A">
              <w:rPr>
                <w:rFonts w:ascii="Times New Roman" w:hAnsi="Times New Roman" w:cs="Times New Roman"/>
                <w:sz w:val="24"/>
                <w:szCs w:val="24"/>
              </w:rPr>
              <w:t>Развитие речи. Урок по теме: «Письменное изложение текста по коллективно составленному плану»</w:t>
            </w:r>
          </w:p>
          <w:p w:rsidR="00020466" w:rsidRPr="006F62DA" w:rsidRDefault="00020466" w:rsidP="0020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B053D" w:rsidRDefault="00395660" w:rsidP="003B053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F62DA">
              <w:rPr>
                <w:rStyle w:val="apple-converted-space"/>
                <w:color w:val="000000"/>
              </w:rPr>
              <w:t xml:space="preserve">Выбор и актуализация темы </w:t>
            </w:r>
            <w:proofErr w:type="gramStart"/>
            <w:r w:rsidRPr="006F62DA">
              <w:rPr>
                <w:rStyle w:val="apple-converted-space"/>
                <w:color w:val="000000"/>
              </w:rPr>
              <w:t xml:space="preserve">самообразования,  </w:t>
            </w:r>
            <w:r w:rsidRPr="006F62DA">
              <w:rPr>
                <w:color w:val="000000"/>
              </w:rPr>
              <w:t>изучение</w:t>
            </w:r>
            <w:proofErr w:type="gramEnd"/>
            <w:r w:rsidRPr="006F62DA">
              <w:rPr>
                <w:color w:val="000000"/>
              </w:rPr>
              <w:t xml:space="preserve"> специальной методической и </w:t>
            </w:r>
            <w:proofErr w:type="spellStart"/>
            <w:r w:rsidRPr="006F62DA">
              <w:rPr>
                <w:color w:val="000000"/>
              </w:rPr>
              <w:t>психолого</w:t>
            </w:r>
            <w:proofErr w:type="spellEnd"/>
            <w:r w:rsidRPr="006F62DA">
              <w:rPr>
                <w:color w:val="000000"/>
              </w:rPr>
              <w:t xml:space="preserve"> – педагогической литературы по ФГОС </w:t>
            </w:r>
          </w:p>
          <w:p w:rsidR="003B053D" w:rsidRPr="006F62DA" w:rsidRDefault="00395660" w:rsidP="003B053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bookmarkStart w:id="0" w:name="_GoBack"/>
            <w:bookmarkEnd w:id="0"/>
            <w:r w:rsidRPr="006F62DA">
              <w:rPr>
                <w:color w:val="000000"/>
              </w:rPr>
              <w:t xml:space="preserve"> </w:t>
            </w:r>
            <w:r w:rsidR="003B053D" w:rsidRPr="006F62DA">
              <w:rPr>
                <w:color w:val="000000"/>
              </w:rPr>
              <w:t xml:space="preserve">Разработка и апробирование дидактических материалов, тестов, наглядностей, создание электронного комплекта </w:t>
            </w:r>
            <w:r w:rsidR="003B053D" w:rsidRPr="006F62DA">
              <w:rPr>
                <w:color w:val="000000"/>
              </w:rPr>
              <w:lastRenderedPageBreak/>
              <w:t>педагогических разработок;</w:t>
            </w:r>
          </w:p>
          <w:p w:rsidR="003B053D" w:rsidRPr="006F62DA" w:rsidRDefault="003B053D" w:rsidP="003B053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F62DA">
              <w:rPr>
                <w:color w:val="000000"/>
              </w:rPr>
              <w:t>- проектно-исследовательская деятельность.</w:t>
            </w:r>
          </w:p>
          <w:p w:rsidR="003B053D" w:rsidRPr="006F62DA" w:rsidRDefault="003B053D" w:rsidP="003B053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F62DA">
              <w:rPr>
                <w:color w:val="000000"/>
              </w:rPr>
              <w:t>Анализ профессионального образования,</w:t>
            </w:r>
          </w:p>
          <w:p w:rsidR="003B053D" w:rsidRPr="006F62DA" w:rsidRDefault="003B053D" w:rsidP="003B053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F62DA">
              <w:rPr>
                <w:color w:val="000000"/>
              </w:rPr>
              <w:t>обобщение собственного опыта педагогической деятельности</w:t>
            </w:r>
          </w:p>
          <w:p w:rsidR="003B053D" w:rsidRPr="006F62DA" w:rsidRDefault="003B053D" w:rsidP="003B053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F62DA">
              <w:rPr>
                <w:color w:val="000000"/>
              </w:rPr>
              <w:t>- проведение открытых уроков, мероприятий, мастер-классов;</w:t>
            </w:r>
          </w:p>
          <w:p w:rsidR="002032CA" w:rsidRPr="006F62DA" w:rsidRDefault="003B053D" w:rsidP="003B0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-участие в работе школьного методического объединения</w:t>
            </w:r>
          </w:p>
        </w:tc>
        <w:tc>
          <w:tcPr>
            <w:tcW w:w="1263" w:type="dxa"/>
          </w:tcPr>
          <w:p w:rsidR="002032CA" w:rsidRPr="006F62DA" w:rsidRDefault="006F62DA" w:rsidP="006F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263" w:type="dxa"/>
          </w:tcPr>
          <w:p w:rsidR="002032CA" w:rsidRPr="002032CA" w:rsidRDefault="002032CA" w:rsidP="008A2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6939C9" w:rsidRDefault="006939C9" w:rsidP="0069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F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Pr="00513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педагогического работника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032CA" w:rsidRPr="002032CA" w:rsidRDefault="006939C9" w:rsidP="006939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ВПР, процент качества знаний по предмету</w:t>
            </w:r>
          </w:p>
        </w:tc>
      </w:tr>
    </w:tbl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  <w:sectPr w:rsidR="00705644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5CCD" w:rsidRPr="00A85CCD" w:rsidRDefault="00A85CCD" w:rsidP="00A85CCD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:rsidR="003F4CF2" w:rsidRDefault="003F4CF2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60-70%</w:t>
            </w: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:rsidR="00A85CCD" w:rsidRPr="00A85CCD" w:rsidRDefault="009F58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3F4CF2" w:rsidP="003F4CF2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стабильность</w:t>
            </w:r>
            <w:r w:rsidR="00A85CCD" w:rsidRPr="00A85CCD">
              <w:rPr>
                <w:rFonts w:ascii="Times New Roman" w:hAnsi="Times New Roman" w:cs="Times New Roman"/>
              </w:rPr>
              <w:t xml:space="preserve"> каче</w:t>
            </w:r>
            <w:r>
              <w:rPr>
                <w:rFonts w:ascii="Times New Roman" w:hAnsi="Times New Roman" w:cs="Times New Roman"/>
              </w:rPr>
              <w:t>ства знаний по итогам четверти</w:t>
            </w:r>
            <w:r w:rsidR="00A85CCD" w:rsidRPr="00A85C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:rsidR="00A85CCD" w:rsidRPr="00A85CCD" w:rsidRDefault="00A85CCD" w:rsidP="003F4CF2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активности участия</w:t>
            </w:r>
            <w:r w:rsidR="003F4CF2">
              <w:rPr>
                <w:rFonts w:ascii="Times New Roman" w:hAnsi="Times New Roman" w:cs="Times New Roman"/>
              </w:rPr>
              <w:t xml:space="preserve"> педагога в методической работе, </w:t>
            </w:r>
            <w:r w:rsidRPr="00A85CCD">
              <w:rPr>
                <w:rFonts w:ascii="Times New Roman" w:hAnsi="Times New Roman" w:cs="Times New Roman"/>
              </w:rPr>
              <w:t xml:space="preserve">МО учителей </w:t>
            </w:r>
            <w:r w:rsidR="003F4CF2">
              <w:rPr>
                <w:rFonts w:ascii="Times New Roman" w:hAnsi="Times New Roman" w:cs="Times New Roman"/>
              </w:rPr>
              <w:t>школы.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3F4CF2" w:rsidRDefault="003F4CF2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CF2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  <w:p w:rsidR="003F4CF2" w:rsidRPr="00A85CCD" w:rsidRDefault="003F4CF2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50 - 70%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</w:tbl>
    <w:p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7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 w15:restartNumberingAfterBreak="0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4"/>
    <w:rsid w:val="00005863"/>
    <w:rsid w:val="00020466"/>
    <w:rsid w:val="00072E5B"/>
    <w:rsid w:val="00085B03"/>
    <w:rsid w:val="000E0AB6"/>
    <w:rsid w:val="000E1B11"/>
    <w:rsid w:val="002032CA"/>
    <w:rsid w:val="002F1268"/>
    <w:rsid w:val="002F6B3D"/>
    <w:rsid w:val="00395660"/>
    <w:rsid w:val="003A4983"/>
    <w:rsid w:val="003B053D"/>
    <w:rsid w:val="003B21DA"/>
    <w:rsid w:val="003F4CF2"/>
    <w:rsid w:val="0049596F"/>
    <w:rsid w:val="004B18E5"/>
    <w:rsid w:val="004F1D5B"/>
    <w:rsid w:val="004F7D59"/>
    <w:rsid w:val="00537108"/>
    <w:rsid w:val="00547F51"/>
    <w:rsid w:val="0057525C"/>
    <w:rsid w:val="005C1E52"/>
    <w:rsid w:val="006939C9"/>
    <w:rsid w:val="0069469E"/>
    <w:rsid w:val="006E309C"/>
    <w:rsid w:val="006F62DA"/>
    <w:rsid w:val="00705644"/>
    <w:rsid w:val="00723FC0"/>
    <w:rsid w:val="00823FA5"/>
    <w:rsid w:val="00866D66"/>
    <w:rsid w:val="0088160E"/>
    <w:rsid w:val="008A2BAF"/>
    <w:rsid w:val="008D3F61"/>
    <w:rsid w:val="008D6B40"/>
    <w:rsid w:val="008D6F4C"/>
    <w:rsid w:val="00960564"/>
    <w:rsid w:val="009C7641"/>
    <w:rsid w:val="009F5806"/>
    <w:rsid w:val="00A047E4"/>
    <w:rsid w:val="00A23A07"/>
    <w:rsid w:val="00A323BD"/>
    <w:rsid w:val="00A8026D"/>
    <w:rsid w:val="00A85CCD"/>
    <w:rsid w:val="00AA5B95"/>
    <w:rsid w:val="00AC17B1"/>
    <w:rsid w:val="00AC452D"/>
    <w:rsid w:val="00B112A7"/>
    <w:rsid w:val="00B42398"/>
    <w:rsid w:val="00B54BB6"/>
    <w:rsid w:val="00B7629A"/>
    <w:rsid w:val="00BE1432"/>
    <w:rsid w:val="00BE7AFE"/>
    <w:rsid w:val="00C97931"/>
    <w:rsid w:val="00CE58CB"/>
    <w:rsid w:val="00D80BE7"/>
    <w:rsid w:val="00D81A2D"/>
    <w:rsid w:val="00E3030B"/>
    <w:rsid w:val="00E51A28"/>
    <w:rsid w:val="00E57A6C"/>
    <w:rsid w:val="00EE2832"/>
    <w:rsid w:val="00EE39EC"/>
    <w:rsid w:val="00F30500"/>
    <w:rsid w:val="00F57E0A"/>
    <w:rsid w:val="00F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FC7C"/>
  <w15:docId w15:val="{EB9A8086-0649-43C3-8345-4E811EF9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660"/>
  </w:style>
  <w:style w:type="paragraph" w:styleId="a5">
    <w:name w:val="Normal (Web)"/>
    <w:basedOn w:val="a"/>
    <w:uiPriority w:val="99"/>
    <w:unhideWhenUsed/>
    <w:rsid w:val="00D8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07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Машшш</cp:lastModifiedBy>
  <cp:revision>3</cp:revision>
  <dcterms:created xsi:type="dcterms:W3CDTF">2022-06-12T07:38:00Z</dcterms:created>
  <dcterms:modified xsi:type="dcterms:W3CDTF">2022-06-13T09:18:00Z</dcterms:modified>
</cp:coreProperties>
</file>